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5B48" w14:textId="77777777" w:rsidR="00201D71" w:rsidRPr="00201D71" w:rsidRDefault="00201D71" w:rsidP="00201D71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201D71">
        <w:rPr>
          <w:rFonts w:ascii="Trebuchet MS" w:hAnsi="Trebuchet MS"/>
          <w:color w:val="auto"/>
          <w:sz w:val="32"/>
          <w:szCs w:val="32"/>
        </w:rPr>
        <w:t>Rintarauhasen paksuneulanäyte (PNB)</w:t>
      </w:r>
    </w:p>
    <w:p w14:paraId="6A2FA249" w14:textId="77777777" w:rsidR="00201D71" w:rsidRPr="00206B15" w:rsidRDefault="00201D71" w:rsidP="00201D71"/>
    <w:p w14:paraId="4071AF26" w14:textId="77777777" w:rsidR="00201D71" w:rsidRDefault="00201D71" w:rsidP="00201D71">
      <w:pPr>
        <w:ind w:right="567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Rintarauhasen </w:t>
      </w:r>
      <w:proofErr w:type="spellStart"/>
      <w:r>
        <w:rPr>
          <w:rFonts w:cs="Arial"/>
          <w:szCs w:val="24"/>
        </w:rPr>
        <w:t>paksuneulanäyteellä</w:t>
      </w:r>
      <w:proofErr w:type="spellEnd"/>
      <w:r>
        <w:rPr>
          <w:rFonts w:cs="Arial"/>
          <w:szCs w:val="24"/>
        </w:rPr>
        <w:t xml:space="preserve"> tarkoitetaan kudosnäytteen ottamista. Näyte otetaan joko ultraääniohjauksessa tai mammografialaitteen avulla röntgensäteitä käyttäen </w:t>
      </w:r>
      <w:proofErr w:type="spellStart"/>
      <w:r>
        <w:rPr>
          <w:rFonts w:cs="Arial"/>
          <w:szCs w:val="24"/>
        </w:rPr>
        <w:t>core</w:t>
      </w:r>
      <w:proofErr w:type="spellEnd"/>
      <w:r>
        <w:rPr>
          <w:rFonts w:cs="Arial"/>
          <w:szCs w:val="24"/>
        </w:rPr>
        <w:t>- tai vakuumitekniikalla.</w:t>
      </w:r>
    </w:p>
    <w:p w14:paraId="64591C78" w14:textId="77777777" w:rsidR="00201D71" w:rsidRPr="00201D71" w:rsidRDefault="00201D71" w:rsidP="00201D7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01D71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49A6155D" w14:textId="77777777" w:rsidR="00201D71" w:rsidRDefault="00201D71" w:rsidP="00201D71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84184F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038E6E99" w14:textId="77777777" w:rsidR="00201D71" w:rsidRPr="002A0F65" w:rsidRDefault="00201D71" w:rsidP="00201D71">
      <w:pPr>
        <w:rPr>
          <w:rFonts w:cs="Arial"/>
          <w:b/>
          <w:szCs w:val="24"/>
        </w:rPr>
      </w:pPr>
    </w:p>
    <w:p w14:paraId="0A35A6F2" w14:textId="3BC23B80" w:rsidR="00201D71" w:rsidRDefault="00201D71" w:rsidP="00201D71">
      <w:r>
        <w:t>Tutkimuspaikka:</w:t>
      </w:r>
      <w:r>
        <w:tab/>
        <w:t>G-kuvantaminen (Avohoitotalo, R-kerros)</w:t>
      </w:r>
    </w:p>
    <w:p w14:paraId="475250B4" w14:textId="77777777" w:rsidR="00201D71" w:rsidRDefault="00201D71" w:rsidP="00201D71">
      <w:pPr>
        <w:ind w:left="2608" w:hanging="2608"/>
      </w:pPr>
      <w:proofErr w:type="spellStart"/>
      <w:r>
        <w:t>Oberon</w:t>
      </w:r>
      <w:proofErr w:type="spellEnd"/>
      <w:r>
        <w:t>:</w:t>
      </w:r>
      <w:r>
        <w:tab/>
        <w:t>Kustannuspaikka Z3375</w:t>
      </w:r>
      <w:r w:rsidRPr="005554F3">
        <w:t>,</w:t>
      </w:r>
      <w:r>
        <w:t xml:space="preserve"> Resurssi RMG21</w:t>
      </w:r>
      <w:r w:rsidRPr="005554F3">
        <w:t xml:space="preserve"> </w:t>
      </w:r>
    </w:p>
    <w:p w14:paraId="3BEEEB79" w14:textId="77777777" w:rsidR="00201D71" w:rsidRPr="005554F3" w:rsidRDefault="00201D71" w:rsidP="00201D71">
      <w:pPr>
        <w:ind w:left="2608" w:hanging="2608"/>
      </w:pPr>
    </w:p>
    <w:p w14:paraId="57CC51E1" w14:textId="630E6F14" w:rsidR="00201D71" w:rsidRDefault="00201D71" w:rsidP="00201D71">
      <w:r>
        <w:t xml:space="preserve">Tiedustelut: </w:t>
      </w:r>
      <w:r>
        <w:tab/>
      </w:r>
      <w:r>
        <w:tab/>
      </w:r>
      <w:r w:rsidR="00451614" w:rsidRPr="00451614">
        <w:t>arkisin klo 8.00–15.00 puh. 040-5811728</w:t>
      </w:r>
    </w:p>
    <w:p w14:paraId="546E052C" w14:textId="6BE1C764" w:rsidR="00201D71" w:rsidRPr="00206BEB" w:rsidRDefault="00201D71" w:rsidP="00201D71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tutkimuksen jälkeen. Näytevastaukset valmistuvat patologian osastolla noin 1–2 viikossa.</w:t>
      </w:r>
    </w:p>
    <w:p w14:paraId="1BC93A0F" w14:textId="77777777" w:rsidR="00201D71" w:rsidRPr="00201D71" w:rsidRDefault="00201D71" w:rsidP="00201D7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01D71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11C51975" w14:textId="77777777" w:rsidR="00201D71" w:rsidRDefault="00201D71" w:rsidP="00201D71">
      <w:r w:rsidRPr="003D5CE8">
        <w:t>Indikaatiot:</w:t>
      </w:r>
    </w:p>
    <w:p w14:paraId="516E6655" w14:textId="77777777" w:rsidR="00201D71" w:rsidRPr="003F5D30" w:rsidRDefault="00201D71" w:rsidP="00201D7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3F5D30">
        <w:rPr>
          <w:rFonts w:cs="Arial"/>
          <w:szCs w:val="24"/>
        </w:rPr>
        <w:t>Rintarauhasen tuumorit ja mikrokalkit</w:t>
      </w:r>
    </w:p>
    <w:p w14:paraId="1358BA00" w14:textId="77777777" w:rsidR="00201D71" w:rsidRDefault="00201D71" w:rsidP="00201D71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4DE453C9" w14:textId="77777777" w:rsidR="00201D71" w:rsidRPr="003F5D30" w:rsidRDefault="00201D71" w:rsidP="00201D7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Vuototaipumus (relatiivinen)</w:t>
      </w:r>
    </w:p>
    <w:p w14:paraId="4B6F324A" w14:textId="77777777" w:rsidR="00201D71" w:rsidRDefault="00201D71" w:rsidP="00201D71">
      <w:r w:rsidRPr="00D562AD">
        <w:t>R</w:t>
      </w:r>
      <w:r>
        <w:t>iskit</w:t>
      </w:r>
      <w:r w:rsidRPr="00D562AD">
        <w:t xml:space="preserve">: </w:t>
      </w:r>
    </w:p>
    <w:p w14:paraId="03E92CC9" w14:textId="77777777" w:rsidR="00201D71" w:rsidRPr="003F5D30" w:rsidRDefault="00201D71" w:rsidP="00201D7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3F5D30">
        <w:rPr>
          <w:rFonts w:cs="Arial"/>
          <w:szCs w:val="24"/>
        </w:rPr>
        <w:t>Verenvuoto kudokseen</w:t>
      </w:r>
    </w:p>
    <w:p w14:paraId="2367BDB7" w14:textId="77777777" w:rsidR="00201D71" w:rsidRDefault="00201D71" w:rsidP="00201D7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Puuduteaineallergia</w:t>
      </w:r>
    </w:p>
    <w:p w14:paraId="5DE5CCC7" w14:textId="77777777" w:rsidR="00201D71" w:rsidRPr="00201D71" w:rsidRDefault="00201D71" w:rsidP="00201D7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01D71">
        <w:rPr>
          <w:rFonts w:ascii="Trebuchet MS" w:hAnsi="Trebuchet MS"/>
          <w:color w:val="auto"/>
          <w:sz w:val="24"/>
          <w:szCs w:val="24"/>
        </w:rPr>
        <w:t>Esivalmistelut</w:t>
      </w:r>
    </w:p>
    <w:p w14:paraId="53EDCA14" w14:textId="7911FC15" w:rsidR="00201D71" w:rsidRPr="00BE43F0" w:rsidRDefault="00201D71" w:rsidP="00201D71">
      <w:pPr>
        <w:pStyle w:val="Luettelokappale"/>
        <w:numPr>
          <w:ilvl w:val="0"/>
          <w:numId w:val="38"/>
        </w:numPr>
        <w:ind w:left="780" w:right="567"/>
        <w:jc w:val="both"/>
      </w:pPr>
      <w:r w:rsidRPr="003F5D30">
        <w:rPr>
          <w:rFonts w:cs="Arial"/>
          <w:szCs w:val="24"/>
        </w:rPr>
        <w:t xml:space="preserve">Pinnallisissa kohteissa verenohennuslääkkeiden tauottaminen ei ole välttämätöntä. </w:t>
      </w:r>
      <w:proofErr w:type="spellStart"/>
      <w:r w:rsidRPr="003F5D30">
        <w:rPr>
          <w:rFonts w:cs="Arial"/>
          <w:szCs w:val="24"/>
        </w:rPr>
        <w:t>Marevan-</w:t>
      </w:r>
      <w:proofErr w:type="spellEnd"/>
      <w:r w:rsidRPr="003F5D30">
        <w:rPr>
          <w:rFonts w:cs="Arial"/>
          <w:szCs w:val="24"/>
        </w:rPr>
        <w:t xml:space="preserve"> lääkitystä käyttäviltä potilailta on kuitenkin syytä tarkistaa TT-INR ennen toimenpidettä. Hoitotasolla oleva TT-INR, varfariinihoitoa saavalla potilaalla, ei ole este toimenpiteelle (indikaation mukaan TT-INR 1.5–3.5).</w:t>
      </w:r>
    </w:p>
    <w:p w14:paraId="646E4EA9" w14:textId="77777777" w:rsidR="00201D71" w:rsidRPr="00B25C38" w:rsidRDefault="00201D71" w:rsidP="00201D71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Läppäpotilaille mahdollisesti annettava antibioottiprofylaksia annetaan poliklinikalla tai osastolla ennen toimenpidettä.</w:t>
      </w:r>
    </w:p>
    <w:p w14:paraId="76CC8AB9" w14:textId="77777777" w:rsidR="00201D71" w:rsidRPr="00201D71" w:rsidRDefault="00201D71" w:rsidP="00201D7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01D71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1FF2D98A" w14:textId="77777777" w:rsidR="00201D71" w:rsidRPr="00BE43F0" w:rsidRDefault="00201D71" w:rsidP="00201D71">
      <w:pPr>
        <w:pStyle w:val="Luettelokappale"/>
        <w:numPr>
          <w:ilvl w:val="0"/>
          <w:numId w:val="39"/>
        </w:numPr>
      </w:pPr>
      <w:r w:rsidRPr="00BE43F0">
        <w:t>Aluksi määritetään näytteenottotapa. Jos rinnassa oleva muutosalue erottuu ultraäänitutki</w:t>
      </w:r>
      <w:r w:rsidRPr="00BE43F0">
        <w:softHyphen/>
        <w:t>muksessa, näyte voidaan ottaa ultraääntä apuna käyttäen tutkimuspöydällä makuuasennossa. Mikäli rintamuutos, esimerkiksi mikrokalkit, on havaittavissa vain mammografiakuvassa, näyte otetaan istuma-asennossa stereotaktisen ohjauslaitteen avulla röntgensäteitä käyttäen.</w:t>
      </w:r>
    </w:p>
    <w:p w14:paraId="42904033" w14:textId="2C8B4E8B" w:rsidR="00201D71" w:rsidRDefault="00201D71" w:rsidP="00201D71">
      <w:pPr>
        <w:pStyle w:val="Luettelokappale"/>
        <w:numPr>
          <w:ilvl w:val="0"/>
          <w:numId w:val="39"/>
        </w:numPr>
      </w:pPr>
      <w:r w:rsidRPr="00BE43F0">
        <w:t>Paikallispuudutuksen jälkeen tehdään ihoon pieni viilto ja otetaan 3–6 näytettä.</w:t>
      </w:r>
    </w:p>
    <w:p w14:paraId="32FBBFCB" w14:textId="77777777" w:rsidR="00201D71" w:rsidRPr="00FE1DB6" w:rsidRDefault="00201D71" w:rsidP="00201D71">
      <w:pPr>
        <w:pStyle w:val="Luettelokappale"/>
        <w:numPr>
          <w:ilvl w:val="0"/>
          <w:numId w:val="39"/>
        </w:numPr>
        <w:ind w:right="567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Radiologi tekee näytepyynnön ja n</w:t>
      </w:r>
      <w:r w:rsidRPr="00EF542B">
        <w:rPr>
          <w:rFonts w:cs="Arial"/>
          <w:szCs w:val="24"/>
        </w:rPr>
        <w:t>äytteet lähetetään röntgenistä suoraan laboratorioon.</w:t>
      </w:r>
    </w:p>
    <w:p w14:paraId="7EF98B5C" w14:textId="77777777" w:rsidR="00201D71" w:rsidRPr="00BE43F0" w:rsidRDefault="00201D71" w:rsidP="00201D71">
      <w:pPr>
        <w:pStyle w:val="Luettelokappale"/>
        <w:numPr>
          <w:ilvl w:val="0"/>
          <w:numId w:val="39"/>
        </w:numPr>
      </w:pPr>
      <w:r w:rsidRPr="00BE43F0">
        <w:t>Toimenpide valmisteluineen ja jäl</w:t>
      </w:r>
      <w:r w:rsidRPr="00BE43F0">
        <w:softHyphen/>
        <w:t>kihoitoineen kestää puolesta tunnista yhteen tuntiin.</w:t>
      </w:r>
    </w:p>
    <w:p w14:paraId="0FF5574B" w14:textId="77777777" w:rsidR="00201D71" w:rsidRPr="00201D71" w:rsidRDefault="00201D71" w:rsidP="00201D7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01D71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52228773" w14:textId="77777777" w:rsidR="00201D71" w:rsidRPr="00BE43F0" w:rsidRDefault="00201D71" w:rsidP="00201D71">
      <w:pPr>
        <w:pStyle w:val="Luettelokappale"/>
        <w:numPr>
          <w:ilvl w:val="0"/>
          <w:numId w:val="36"/>
        </w:numPr>
        <w:ind w:right="567"/>
        <w:jc w:val="both"/>
        <w:outlineLvl w:val="0"/>
      </w:pPr>
      <w:r w:rsidRPr="00BF6B29">
        <w:t>Näytteenoton jälkeen röntgenhoitaja painaa pistoskohtaa käsin noin 10 mi</w:t>
      </w:r>
      <w:r w:rsidRPr="00BF6B29">
        <w:softHyphen/>
        <w:t xml:space="preserve">nuuttia. </w:t>
      </w:r>
      <w:r>
        <w:t xml:space="preserve">Fyysistä rasitusta tulee välttää näytteenottopäivänä. Ihoviilto pidetään kuivana 2 päivää. Mahdolliseen biopsian jälkeiseen kipuun suositellaan esim. </w:t>
      </w:r>
      <w:proofErr w:type="spellStart"/>
      <w:r>
        <w:t>Panadol</w:t>
      </w:r>
      <w:proofErr w:type="spellEnd"/>
      <w:r>
        <w:t>®, ei asetyylisalisyylivalmisteita.</w:t>
      </w:r>
    </w:p>
    <w:p w14:paraId="11B33141" w14:textId="33595A38" w:rsidR="00201D71" w:rsidRPr="00F04456" w:rsidRDefault="00201D71" w:rsidP="00201D71">
      <w:pPr>
        <w:pStyle w:val="Luettelokappale"/>
        <w:numPr>
          <w:ilvl w:val="0"/>
          <w:numId w:val="36"/>
        </w:numPr>
        <w:jc w:val="both"/>
      </w:pPr>
      <w:r w:rsidRPr="00F04456">
        <w:t xml:space="preserve">Yleensä biopsiakohta ei vuoda jälkeenpäin. Mikäli rinnassa on merkkejä </w:t>
      </w:r>
      <w:proofErr w:type="spellStart"/>
      <w:r w:rsidRPr="00F04456">
        <w:t>hematoom</w:t>
      </w:r>
      <w:r>
        <w:t>asta</w:t>
      </w:r>
      <w:proofErr w:type="spellEnd"/>
      <w:r>
        <w:t>, pistoskohtaa painetaan noin 10</w:t>
      </w:r>
      <w:r w:rsidRPr="00F04456">
        <w:t xml:space="preserve"> minuuttia ja lisäksi voidaan pistoskohdassa pitää kylmää geelipatjaa 15 minuuttia. Tarvittaessa </w:t>
      </w:r>
      <w:proofErr w:type="spellStart"/>
      <w:r w:rsidRPr="00F04456">
        <w:t>uä</w:t>
      </w:r>
      <w:proofErr w:type="spellEnd"/>
      <w:r w:rsidRPr="00F04456">
        <w:t>-kontrolli.</w:t>
      </w:r>
    </w:p>
    <w:p w14:paraId="2275425D" w14:textId="77777777" w:rsidR="00201D71" w:rsidRPr="00BE43F0" w:rsidRDefault="00201D71" w:rsidP="00201D71">
      <w:pPr>
        <w:pStyle w:val="Sisennettyleipteksti"/>
        <w:numPr>
          <w:ilvl w:val="0"/>
          <w:numId w:val="36"/>
        </w:numPr>
        <w:jc w:val="both"/>
      </w:pPr>
      <w:r w:rsidRPr="00BE43F0">
        <w:t>Näytteenottopäivä myönnetään tarvittaessa sairaslomapäiväksi esim. raskasta työtä tekeville.</w:t>
      </w:r>
    </w:p>
    <w:p w14:paraId="077FA2A9" w14:textId="77777777" w:rsidR="00201D71" w:rsidRPr="00927235" w:rsidRDefault="00201D71" w:rsidP="00201D71">
      <w:pPr>
        <w:pStyle w:val="Luettelokappale"/>
        <w:ind w:right="567"/>
        <w:jc w:val="both"/>
        <w:outlineLvl w:val="0"/>
      </w:pPr>
    </w:p>
    <w:p w14:paraId="468FDBB3" w14:textId="77777777" w:rsidR="00201D71" w:rsidRDefault="00201D71" w:rsidP="00201D71"/>
    <w:p w14:paraId="4C6D334C" w14:textId="0B0B9406" w:rsidR="00DF6FC6" w:rsidRPr="00201D71" w:rsidRDefault="00DF6FC6" w:rsidP="00201D71"/>
    <w:sectPr w:rsidR="00DF6FC6" w:rsidRPr="00201D71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6A7979D" w:rsidR="009D2375" w:rsidRPr="00BD1530" w:rsidRDefault="00CA0E8A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1D71">
          <w:rPr>
            <w:sz w:val="16"/>
            <w:szCs w:val="16"/>
          </w:rPr>
          <w:t xml:space="preserve">Rintarauhasen paksuneulabiopsia (PNB) </w:t>
        </w:r>
        <w:proofErr w:type="spellStart"/>
        <w:r w:rsidR="00201D71">
          <w:rPr>
            <w:sz w:val="16"/>
            <w:szCs w:val="16"/>
          </w:rPr>
          <w:t>kuv</w:t>
        </w:r>
        <w:proofErr w:type="spellEnd"/>
        <w:r w:rsidR="00201D71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01D71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51614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PPSHP-1249379545-2149</_dlc_DocId>
    <_dlc_DocIdPersistId xmlns="d3e50268-7799-48af-83c3-9a9b063078bc">false</_dlc_DocIdPersistId>
    <_dlc_DocIdUrl xmlns="d3e50268-7799-48af-83c3-9a9b063078bc">
      <Url>https://julkaisu.oysnet.ppshp.fi/_layouts/15/DocIdRedir.aspx?ID=PPSHP-1249379545-2149</Url>
      <Description>PPSHP-1249379545-2149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6ADB1-0857-401A-905A-54DD04CEA229}"/>
</file>

<file path=customXml/itemProps3.xml><?xml version="1.0" encoding="utf-8"?>
<ds:datastoreItem xmlns:ds="http://schemas.openxmlformats.org/officeDocument/2006/customXml" ds:itemID="{77AEF83F-3164-4074-A60C-808638E6BE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B0993-D430-494A-BDD7-C643312FBC2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0af04246-5dcb-4e38-b8a1-4adaeb36812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ohutneulabiopsia (ONB) kuv til.docx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paksuneulabiopsia (PNB) kuv til.docx</dc:title>
  <dc:subject/>
  <dc:creator/>
  <cp:keywords/>
  <dc:description/>
  <cp:lastModifiedBy/>
  <cp:revision>1</cp:revision>
  <dcterms:created xsi:type="dcterms:W3CDTF">2025-01-02T11:15:00Z</dcterms:created>
  <dcterms:modified xsi:type="dcterms:W3CDTF">2025-01-03T11:50:00Z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75c816fb-d29a-4fbf-a5a6-552f7d26655a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1039;#Rintarauhaset|1ed5fd95-9730-4dd3-a13a-303dca90ab87</vt:lpwstr>
  </property>
  <property fmtid="{D5CDD505-2E9C-101B-9397-08002B2CF9AE}" pid="27" name="Kriisiviestintä">
    <vt:lpwstr/>
  </property>
  <property fmtid="{D5CDD505-2E9C-101B-9397-08002B2CF9AE}" pid="28" name="_NewReviewCycle">
    <vt:lpwstr/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uvantamisen ohjeen tutkimusryhmät (sisältötyypin metatieto)">
    <vt:lpwstr>551;#Mammografia|35cda47e-65c6-45aa-9df1-e108aa8fba4c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_ReviewingToolsShownOnce">
    <vt:lpwstr/>
  </property>
  <property fmtid="{D5CDD505-2E9C-101B-9397-08002B2CF9AE}" pid="35" name="Toimenpidekoodit">
    <vt:lpwstr/>
  </property>
  <property fmtid="{D5CDD505-2E9C-101B-9397-08002B2CF9AE}" pid="36" name="fd5f16720f694364b28ff23026e0e83a">
    <vt:lpwstr/>
  </property>
  <property fmtid="{D5CDD505-2E9C-101B-9397-08002B2CF9AE}" pid="37" name="Kohde- / työntekijäryhmä">
    <vt:lpwstr>42;#Potilaan hoitoon osallistuva henkilöstö|21074a2b-1b44-417e-9c72-4d731d4c7a78</vt:lpwstr>
  </property>
  <property fmtid="{D5CDD505-2E9C-101B-9397-08002B2CF9AE}" pid="38" name="xd_Signature">
    <vt:bool>false</vt:bool>
  </property>
  <property fmtid="{D5CDD505-2E9C-101B-9397-08002B2CF9AE}" pid="39" name="ICD 10 tautiluokitus">
    <vt:lpwstr/>
  </property>
  <property fmtid="{D5CDD505-2E9C-101B-9397-08002B2CF9AE}" pid="40" name="MEO">
    <vt:lpwstr/>
  </property>
  <property fmtid="{D5CDD505-2E9C-101B-9397-08002B2CF9AE}" pid="41" name="_AdHocReviewCycleID">
    <vt:i4>2061425686</vt:i4>
  </property>
  <property fmtid="{D5CDD505-2E9C-101B-9397-08002B2CF9AE}" pid="42" name="Kohdeorganisaatio">
    <vt:lpwstr>521;#G-röntgen|bd3dcb37-9549-40ac-a8bb-b576818e69ef</vt:lpwstr>
  </property>
  <property fmtid="{D5CDD505-2E9C-101B-9397-08002B2CF9AE}" pid="43" name="_EmailSubject">
    <vt:lpwstr>tilaajaohjeasiaa salmelta</vt:lpwstr>
  </property>
  <property fmtid="{D5CDD505-2E9C-101B-9397-08002B2CF9AE}" pid="44" name="_AuthorEmailDisplayName">
    <vt:lpwstr>Meriläinen Salme</vt:lpwstr>
  </property>
  <property fmtid="{D5CDD505-2E9C-101B-9397-08002B2CF9AE}" pid="45" name="_AuthorEmail">
    <vt:lpwstr>Salme.Merilainen@ppshp.fi</vt:lpwstr>
  </property>
  <property fmtid="{D5CDD505-2E9C-101B-9397-08002B2CF9AE}" pid="46" name="Order">
    <vt:r8>214900</vt:r8>
  </property>
  <property fmtid="{D5CDD505-2E9C-101B-9397-08002B2CF9AE}" pid="48" name="_SourceUrl">
    <vt:lpwstr/>
  </property>
  <property fmtid="{D5CDD505-2E9C-101B-9397-08002B2CF9AE}" pid="49" name="_SharedFileIndex">
    <vt:lpwstr/>
  </property>
  <property fmtid="{D5CDD505-2E9C-101B-9397-08002B2CF9AE}" pid="50" name="TaxKeywordTaxHTField">
    <vt:lpwstr/>
  </property>
  <property fmtid="{D5CDD505-2E9C-101B-9397-08002B2CF9AE}" pid="51" name="SharedWithUsers">
    <vt:lpwstr/>
  </property>
</Properties>
</file>